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F2E" w:rsidRPr="00375BD9" w:rsidRDefault="006A1F2E" w:rsidP="00BB3DD0">
      <w:pPr>
        <w:snapToGrid w:val="0"/>
        <w:ind w:left="-142" w:right="-142"/>
        <w:jc w:val="left"/>
        <w:rPr>
          <w:rFonts w:ascii="Arial" w:hAnsi="Arial" w:cs="Arial"/>
          <w:b/>
          <w:bCs/>
          <w:sz w:val="28"/>
          <w:szCs w:val="28"/>
        </w:rPr>
      </w:pPr>
      <w:r w:rsidRPr="00375BD9">
        <w:rPr>
          <w:rFonts w:ascii="Arial" w:hAnsi="Arial" w:cs="Arial"/>
          <w:b/>
          <w:bCs/>
          <w:sz w:val="28"/>
          <w:szCs w:val="28"/>
        </w:rPr>
        <w:t>SIRT1 delays onset and slows disease progression in the N171-82Q</w:t>
      </w:r>
      <w:r w:rsidRPr="00375BD9">
        <w:rPr>
          <w:rFonts w:ascii="Arial" w:hAnsi="Arial" w:cs="Arial"/>
          <w:sz w:val="24"/>
          <w:szCs w:val="24"/>
        </w:rPr>
        <w:t xml:space="preserve"> </w:t>
      </w:r>
      <w:r w:rsidRPr="00375BD9">
        <w:rPr>
          <w:rFonts w:ascii="Arial" w:hAnsi="Arial" w:cs="Arial"/>
          <w:b/>
          <w:bCs/>
          <w:sz w:val="28"/>
          <w:szCs w:val="28"/>
        </w:rPr>
        <w:t xml:space="preserve">HD mouse model </w:t>
      </w:r>
    </w:p>
    <w:p w:rsidR="006A1F2E" w:rsidRPr="00375BD9" w:rsidRDefault="006A1F2E" w:rsidP="00BB3DD0">
      <w:pPr>
        <w:spacing w:line="80" w:lineRule="atLeast"/>
        <w:ind w:left="-142" w:right="-142"/>
        <w:jc w:val="left"/>
        <w:rPr>
          <w:rFonts w:ascii="Arial" w:hAnsi="Arial" w:cs="Arial"/>
          <w:b/>
          <w:bCs/>
          <w:sz w:val="28"/>
          <w:szCs w:val="28"/>
        </w:rPr>
      </w:pPr>
    </w:p>
    <w:p w:rsidR="006A1F2E" w:rsidRPr="00DE70C8" w:rsidRDefault="006A1F2E" w:rsidP="009A0E83">
      <w:pPr>
        <w:ind w:left="-144" w:right="-144"/>
        <w:jc w:val="left"/>
        <w:rPr>
          <w:rFonts w:ascii="Arial" w:hAnsi="Arial" w:cs="Arial"/>
          <w:b/>
          <w:bCs/>
          <w:i/>
          <w:iCs/>
          <w:sz w:val="24"/>
          <w:szCs w:val="24"/>
          <w:vertAlign w:val="superscript"/>
        </w:rPr>
      </w:pPr>
      <w:r w:rsidRPr="00DE70C8">
        <w:rPr>
          <w:rFonts w:ascii="Arial" w:hAnsi="Arial" w:cs="Arial"/>
          <w:b/>
          <w:bCs/>
          <w:i/>
          <w:iCs/>
          <w:sz w:val="24"/>
          <w:szCs w:val="24"/>
          <w:u w:val="single"/>
        </w:rPr>
        <w:t>Mali Jiang</w:t>
      </w:r>
      <w:r w:rsidRPr="00DE70C8">
        <w:rPr>
          <w:rFonts w:ascii="Arial" w:hAnsi="Arial" w:cs="Arial"/>
          <w:b/>
          <w:bCs/>
          <w:i/>
          <w:iCs/>
          <w:sz w:val="24"/>
          <w:szCs w:val="24"/>
        </w:rPr>
        <w:t xml:space="preserve"> </w:t>
      </w:r>
      <w:r w:rsidRPr="00DE70C8">
        <w:rPr>
          <w:rFonts w:ascii="Arial" w:hAnsi="Arial" w:cs="Arial"/>
          <w:b/>
          <w:bCs/>
          <w:i/>
          <w:iCs/>
          <w:sz w:val="24"/>
          <w:szCs w:val="24"/>
          <w:vertAlign w:val="superscript"/>
        </w:rPr>
        <w:t>1</w:t>
      </w:r>
      <w:r w:rsidRPr="00DE70C8">
        <w:rPr>
          <w:rFonts w:ascii="Arial" w:hAnsi="Arial" w:cs="Arial"/>
          <w:b/>
          <w:bCs/>
          <w:i/>
          <w:iCs/>
          <w:sz w:val="24"/>
          <w:szCs w:val="24"/>
        </w:rPr>
        <w:t>, Lan Xiang</w:t>
      </w:r>
      <w:r w:rsidRPr="00DE70C8">
        <w:rPr>
          <w:rFonts w:ascii="Arial" w:hAnsi="Arial" w:cs="Arial"/>
          <w:b/>
          <w:bCs/>
          <w:i/>
          <w:iCs/>
          <w:sz w:val="24"/>
          <w:szCs w:val="24"/>
          <w:vertAlign w:val="superscript"/>
        </w:rPr>
        <w:t>1</w:t>
      </w:r>
      <w:r w:rsidRPr="00DE70C8">
        <w:rPr>
          <w:rFonts w:ascii="Arial" w:hAnsi="Arial" w:cs="Arial"/>
          <w:b/>
          <w:bCs/>
          <w:i/>
          <w:iCs/>
          <w:sz w:val="24"/>
          <w:szCs w:val="24"/>
        </w:rPr>
        <w:t>, Qi Peng</w:t>
      </w:r>
      <w:r w:rsidRPr="00DE70C8">
        <w:rPr>
          <w:rFonts w:ascii="Arial" w:hAnsi="Arial" w:cs="Arial"/>
          <w:b/>
          <w:bCs/>
          <w:i/>
          <w:iCs/>
          <w:sz w:val="24"/>
          <w:szCs w:val="24"/>
          <w:vertAlign w:val="superscript"/>
        </w:rPr>
        <w:t>1</w:t>
      </w:r>
      <w:r w:rsidRPr="00DE70C8">
        <w:rPr>
          <w:rFonts w:ascii="Arial" w:hAnsi="Arial" w:cs="Arial"/>
          <w:b/>
          <w:bCs/>
          <w:i/>
          <w:iCs/>
          <w:sz w:val="24"/>
          <w:szCs w:val="24"/>
        </w:rPr>
        <w:t xml:space="preserve">, Zhipeng Hou </w:t>
      </w:r>
      <w:r w:rsidRPr="00DE70C8">
        <w:rPr>
          <w:rFonts w:ascii="Arial" w:hAnsi="Arial" w:cs="Arial"/>
          <w:b/>
          <w:bCs/>
          <w:i/>
          <w:iCs/>
          <w:sz w:val="24"/>
          <w:szCs w:val="24"/>
          <w:vertAlign w:val="superscript"/>
        </w:rPr>
        <w:t>2</w:t>
      </w:r>
      <w:r w:rsidRPr="00DE70C8">
        <w:rPr>
          <w:rFonts w:ascii="Arial" w:hAnsi="Arial" w:cs="Arial"/>
          <w:b/>
          <w:bCs/>
          <w:i/>
          <w:iCs/>
          <w:sz w:val="24"/>
          <w:szCs w:val="24"/>
        </w:rPr>
        <w:t>, Jinrong Fu</w:t>
      </w:r>
      <w:r w:rsidRPr="00DE70C8">
        <w:rPr>
          <w:rFonts w:ascii="Arial" w:hAnsi="Arial" w:cs="Arial"/>
          <w:b/>
          <w:bCs/>
          <w:i/>
          <w:iCs/>
          <w:sz w:val="24"/>
          <w:szCs w:val="24"/>
          <w:vertAlign w:val="superscript"/>
        </w:rPr>
        <w:t>1</w:t>
      </w:r>
      <w:r w:rsidRPr="00DE70C8">
        <w:rPr>
          <w:rFonts w:ascii="Arial" w:hAnsi="Arial" w:cs="Arial"/>
          <w:b/>
          <w:bCs/>
          <w:i/>
          <w:iCs/>
          <w:sz w:val="24"/>
          <w:szCs w:val="24"/>
        </w:rPr>
        <w:t xml:space="preserve">, Yong Cheng </w:t>
      </w:r>
      <w:r w:rsidRPr="00DE70C8">
        <w:rPr>
          <w:rFonts w:ascii="Arial" w:hAnsi="Arial" w:cs="Arial"/>
          <w:b/>
          <w:bCs/>
          <w:i/>
          <w:iCs/>
          <w:sz w:val="24"/>
          <w:szCs w:val="24"/>
          <w:vertAlign w:val="superscript"/>
        </w:rPr>
        <w:t>1</w:t>
      </w:r>
      <w:r w:rsidRPr="00DE70C8">
        <w:rPr>
          <w:rFonts w:ascii="Arial" w:hAnsi="Arial" w:cs="Arial"/>
          <w:b/>
          <w:bCs/>
          <w:i/>
          <w:iCs/>
          <w:sz w:val="24"/>
          <w:szCs w:val="24"/>
        </w:rPr>
        <w:t xml:space="preserve">, Jiawei Wang </w:t>
      </w:r>
      <w:r w:rsidRPr="00DE70C8">
        <w:rPr>
          <w:rFonts w:ascii="Arial" w:hAnsi="Arial" w:cs="Arial"/>
          <w:b/>
          <w:bCs/>
          <w:i/>
          <w:iCs/>
          <w:sz w:val="24"/>
          <w:szCs w:val="24"/>
          <w:vertAlign w:val="superscript"/>
        </w:rPr>
        <w:t>1</w:t>
      </w:r>
      <w:r w:rsidRPr="00DE70C8">
        <w:rPr>
          <w:rFonts w:ascii="Arial" w:hAnsi="Arial" w:cs="Arial"/>
          <w:b/>
          <w:bCs/>
          <w:i/>
          <w:iCs/>
          <w:sz w:val="24"/>
          <w:szCs w:val="24"/>
        </w:rPr>
        <w:t>, Katherine Sommers</w:t>
      </w:r>
      <w:r w:rsidRPr="00DE70C8">
        <w:rPr>
          <w:rFonts w:ascii="Arial" w:hAnsi="Arial" w:cs="Arial"/>
          <w:b/>
          <w:bCs/>
          <w:i/>
          <w:iCs/>
          <w:sz w:val="24"/>
          <w:szCs w:val="24"/>
          <w:vertAlign w:val="superscript"/>
        </w:rPr>
        <w:t>1</w:t>
      </w:r>
      <w:r w:rsidRPr="00DE70C8">
        <w:rPr>
          <w:rFonts w:ascii="Arial" w:hAnsi="Arial" w:cs="Arial"/>
          <w:b/>
          <w:bCs/>
          <w:i/>
          <w:iCs/>
          <w:sz w:val="24"/>
          <w:szCs w:val="24"/>
        </w:rPr>
        <w:t>, Jin Jing</w:t>
      </w:r>
      <w:r w:rsidRPr="00DE70C8">
        <w:rPr>
          <w:rFonts w:ascii="Arial" w:hAnsi="Arial" w:cs="Arial"/>
          <w:b/>
          <w:bCs/>
          <w:i/>
          <w:iCs/>
          <w:sz w:val="24"/>
          <w:szCs w:val="24"/>
          <w:vertAlign w:val="superscript"/>
        </w:rPr>
        <w:t>1</w:t>
      </w:r>
      <w:r w:rsidRPr="00DE70C8">
        <w:rPr>
          <w:rFonts w:ascii="Arial" w:hAnsi="Arial" w:cs="Arial"/>
          <w:b/>
          <w:bCs/>
          <w:i/>
          <w:iCs/>
          <w:sz w:val="24"/>
          <w:szCs w:val="24"/>
        </w:rPr>
        <w:t>, Kellie Tamashiro</w:t>
      </w:r>
      <w:r w:rsidRPr="00DE70C8">
        <w:rPr>
          <w:rFonts w:ascii="Arial" w:hAnsi="Arial" w:cs="Arial"/>
          <w:b/>
          <w:bCs/>
          <w:i/>
          <w:iCs/>
          <w:sz w:val="24"/>
          <w:szCs w:val="24"/>
          <w:vertAlign w:val="superscript"/>
        </w:rPr>
        <w:t>3</w:t>
      </w:r>
      <w:r w:rsidRPr="00DE70C8">
        <w:rPr>
          <w:rFonts w:ascii="Arial" w:hAnsi="Arial" w:cs="Arial"/>
          <w:b/>
          <w:bCs/>
          <w:i/>
          <w:iCs/>
          <w:sz w:val="24"/>
          <w:szCs w:val="24"/>
        </w:rPr>
        <w:t>, Susan Aja</w:t>
      </w:r>
      <w:r w:rsidRPr="00DE70C8">
        <w:rPr>
          <w:rFonts w:ascii="Arial" w:hAnsi="Arial" w:cs="Arial"/>
          <w:b/>
          <w:bCs/>
          <w:i/>
          <w:iCs/>
          <w:sz w:val="24"/>
          <w:szCs w:val="24"/>
          <w:vertAlign w:val="superscript"/>
        </w:rPr>
        <w:t xml:space="preserve"> 3,4</w:t>
      </w:r>
      <w:r w:rsidRPr="00DE70C8">
        <w:rPr>
          <w:rFonts w:ascii="Arial" w:hAnsi="Arial" w:cs="Arial"/>
          <w:b/>
          <w:bCs/>
          <w:i/>
          <w:iCs/>
          <w:sz w:val="24"/>
          <w:szCs w:val="24"/>
        </w:rPr>
        <w:t>, Bronwen Martin</w:t>
      </w:r>
      <w:r w:rsidRPr="00DE70C8">
        <w:rPr>
          <w:rFonts w:ascii="Arial" w:hAnsi="Arial" w:cs="Arial"/>
          <w:b/>
          <w:bCs/>
          <w:i/>
          <w:iCs/>
          <w:sz w:val="24"/>
          <w:szCs w:val="24"/>
          <w:vertAlign w:val="superscript"/>
        </w:rPr>
        <w:t>8</w:t>
      </w:r>
      <w:r w:rsidRPr="00DE70C8">
        <w:rPr>
          <w:rFonts w:ascii="Arial" w:hAnsi="Arial" w:cs="Arial"/>
          <w:b/>
          <w:bCs/>
          <w:i/>
          <w:iCs/>
          <w:sz w:val="24"/>
          <w:szCs w:val="24"/>
        </w:rPr>
        <w:t>, Stuart Maudsley</w:t>
      </w:r>
      <w:r w:rsidRPr="00DE70C8">
        <w:rPr>
          <w:rFonts w:ascii="Arial" w:hAnsi="Arial" w:cs="Arial"/>
          <w:b/>
          <w:bCs/>
          <w:i/>
          <w:iCs/>
          <w:sz w:val="24"/>
          <w:szCs w:val="24"/>
          <w:vertAlign w:val="superscript"/>
        </w:rPr>
        <w:t>9</w:t>
      </w:r>
      <w:r w:rsidRPr="00DE70C8">
        <w:rPr>
          <w:rFonts w:ascii="Arial" w:hAnsi="Arial" w:cs="Arial"/>
          <w:b/>
          <w:bCs/>
          <w:i/>
          <w:iCs/>
          <w:sz w:val="24"/>
          <w:szCs w:val="24"/>
        </w:rPr>
        <w:t xml:space="preserve">, Tim West </w:t>
      </w:r>
      <w:r w:rsidRPr="00DE70C8">
        <w:rPr>
          <w:rFonts w:ascii="Arial" w:hAnsi="Arial" w:cs="Arial"/>
          <w:b/>
          <w:bCs/>
          <w:i/>
          <w:iCs/>
          <w:sz w:val="24"/>
          <w:szCs w:val="24"/>
          <w:vertAlign w:val="superscript"/>
        </w:rPr>
        <w:t>5</w:t>
      </w:r>
      <w:r w:rsidRPr="00DE70C8">
        <w:rPr>
          <w:rFonts w:ascii="Arial" w:hAnsi="Arial" w:cs="Arial"/>
          <w:b/>
          <w:bCs/>
          <w:i/>
          <w:iCs/>
          <w:sz w:val="24"/>
          <w:szCs w:val="24"/>
        </w:rPr>
        <w:t>, Jiangyang Zhang</w:t>
      </w:r>
      <w:r w:rsidRPr="00DE70C8">
        <w:rPr>
          <w:rFonts w:ascii="Arial" w:hAnsi="Arial" w:cs="Arial"/>
          <w:b/>
          <w:bCs/>
          <w:i/>
          <w:iCs/>
          <w:sz w:val="24"/>
          <w:szCs w:val="24"/>
          <w:vertAlign w:val="superscript"/>
        </w:rPr>
        <w:t>2</w:t>
      </w:r>
      <w:r w:rsidRPr="00DE70C8">
        <w:rPr>
          <w:rFonts w:ascii="Arial" w:hAnsi="Arial" w:cs="Arial"/>
          <w:b/>
          <w:bCs/>
          <w:i/>
          <w:iCs/>
          <w:sz w:val="24"/>
          <w:szCs w:val="24"/>
        </w:rPr>
        <w:t>, Susumu Mori</w:t>
      </w:r>
      <w:r w:rsidRPr="00DE70C8">
        <w:rPr>
          <w:rFonts w:ascii="Arial" w:hAnsi="Arial" w:cs="Arial"/>
          <w:b/>
          <w:bCs/>
          <w:i/>
          <w:iCs/>
          <w:sz w:val="24"/>
          <w:szCs w:val="24"/>
          <w:vertAlign w:val="superscript"/>
        </w:rPr>
        <w:t>2</w:t>
      </w:r>
      <w:r w:rsidRPr="00DE70C8">
        <w:rPr>
          <w:rFonts w:ascii="Arial" w:hAnsi="Arial" w:cs="Arial"/>
          <w:b/>
          <w:bCs/>
          <w:i/>
          <w:iCs/>
          <w:sz w:val="24"/>
          <w:szCs w:val="24"/>
        </w:rPr>
        <w:t xml:space="preserve">, Timothy Moran </w:t>
      </w:r>
      <w:r w:rsidRPr="00DE70C8">
        <w:rPr>
          <w:rFonts w:ascii="Arial" w:hAnsi="Arial" w:cs="Arial"/>
          <w:b/>
          <w:bCs/>
          <w:i/>
          <w:iCs/>
          <w:sz w:val="24"/>
          <w:szCs w:val="24"/>
          <w:vertAlign w:val="superscript"/>
        </w:rPr>
        <w:t>3</w:t>
      </w:r>
      <w:r w:rsidRPr="00DE70C8">
        <w:rPr>
          <w:rFonts w:ascii="Arial" w:hAnsi="Arial" w:cs="Arial"/>
          <w:b/>
          <w:bCs/>
          <w:i/>
          <w:iCs/>
          <w:sz w:val="24"/>
          <w:szCs w:val="24"/>
        </w:rPr>
        <w:t>, Christopher A Ross</w:t>
      </w:r>
      <w:r w:rsidRPr="00DE70C8">
        <w:rPr>
          <w:rFonts w:ascii="Arial" w:hAnsi="Arial" w:cs="Arial"/>
          <w:b/>
          <w:bCs/>
          <w:i/>
          <w:iCs/>
          <w:sz w:val="24"/>
          <w:szCs w:val="24"/>
          <w:vertAlign w:val="superscript"/>
        </w:rPr>
        <w:t xml:space="preserve">1,6,7 </w:t>
      </w:r>
      <w:r w:rsidRPr="00DE70C8">
        <w:rPr>
          <w:rFonts w:ascii="Arial" w:hAnsi="Arial" w:cs="Arial"/>
          <w:b/>
          <w:bCs/>
          <w:i/>
          <w:iCs/>
          <w:sz w:val="24"/>
          <w:szCs w:val="24"/>
        </w:rPr>
        <w:t>, David Holtzman</w:t>
      </w:r>
      <w:r w:rsidRPr="00DE70C8">
        <w:rPr>
          <w:rFonts w:ascii="Arial" w:hAnsi="Arial" w:cs="Arial"/>
          <w:b/>
          <w:bCs/>
          <w:i/>
          <w:iCs/>
          <w:sz w:val="24"/>
          <w:szCs w:val="24"/>
          <w:vertAlign w:val="superscript"/>
        </w:rPr>
        <w:t>5</w:t>
      </w:r>
      <w:r w:rsidRPr="00DE70C8">
        <w:rPr>
          <w:rFonts w:ascii="Arial" w:hAnsi="Arial" w:cs="Arial"/>
          <w:b/>
          <w:bCs/>
          <w:i/>
          <w:iCs/>
          <w:sz w:val="24"/>
          <w:szCs w:val="24"/>
        </w:rPr>
        <w:t xml:space="preserve"> and Wenzhen Duan</w:t>
      </w:r>
      <w:r w:rsidRPr="00DE70C8">
        <w:rPr>
          <w:rFonts w:ascii="Arial" w:hAnsi="Arial" w:cs="Arial"/>
          <w:b/>
          <w:bCs/>
          <w:i/>
          <w:iCs/>
          <w:sz w:val="24"/>
          <w:szCs w:val="24"/>
          <w:vertAlign w:val="superscript"/>
        </w:rPr>
        <w:t xml:space="preserve">1 </w:t>
      </w:r>
    </w:p>
    <w:p w:rsidR="006A1F2E" w:rsidRPr="00DE70C8" w:rsidRDefault="006A1F2E" w:rsidP="009A0E83">
      <w:pPr>
        <w:ind w:left="-144" w:right="-144"/>
        <w:jc w:val="left"/>
        <w:rPr>
          <w:rFonts w:ascii="Arial" w:hAnsi="Arial" w:cs="Arial"/>
          <w:sz w:val="24"/>
          <w:szCs w:val="24"/>
          <w:vertAlign w:val="superscript"/>
        </w:rPr>
      </w:pPr>
    </w:p>
    <w:p w:rsidR="006A1F2E" w:rsidRPr="00DE70C8" w:rsidRDefault="006A1F2E" w:rsidP="006E50DD">
      <w:pPr>
        <w:widowControl/>
        <w:autoSpaceDE w:val="0"/>
        <w:autoSpaceDN w:val="0"/>
        <w:adjustRightInd w:val="0"/>
        <w:jc w:val="left"/>
        <w:rPr>
          <w:rFonts w:ascii="Arial" w:hAnsi="Arial" w:cs="Arial"/>
          <w:sz w:val="24"/>
          <w:szCs w:val="24"/>
        </w:rPr>
      </w:pPr>
      <w:r w:rsidRPr="00DE70C8">
        <w:rPr>
          <w:rFonts w:ascii="Arial" w:hAnsi="Arial" w:cs="Arial"/>
          <w:sz w:val="24"/>
          <w:szCs w:val="24"/>
          <w:vertAlign w:val="superscript"/>
        </w:rPr>
        <w:t>1</w:t>
      </w:r>
      <w:r w:rsidRPr="00DE70C8">
        <w:rPr>
          <w:rFonts w:ascii="Arial" w:hAnsi="Arial" w:cs="Arial"/>
          <w:sz w:val="24"/>
          <w:szCs w:val="24"/>
        </w:rPr>
        <w:t xml:space="preserve">Division of Neurobiology, Department of Psychiatry and behavioral Sciences, </w:t>
      </w:r>
      <w:r w:rsidRPr="00DE70C8">
        <w:rPr>
          <w:rFonts w:ascii="Arial" w:hAnsi="Arial" w:cs="Arial"/>
          <w:sz w:val="24"/>
          <w:szCs w:val="24"/>
          <w:vertAlign w:val="superscript"/>
        </w:rPr>
        <w:t>2</w:t>
      </w:r>
      <w:r w:rsidRPr="00DE70C8">
        <w:rPr>
          <w:rFonts w:ascii="Arial" w:hAnsi="Arial" w:cs="Arial"/>
          <w:kern w:val="0"/>
          <w:sz w:val="24"/>
          <w:szCs w:val="24"/>
        </w:rPr>
        <w:t>Department of Radiology,</w:t>
      </w:r>
      <w:r w:rsidRPr="00DE70C8">
        <w:rPr>
          <w:rFonts w:ascii="Arial" w:hAnsi="Arial" w:cs="Arial"/>
          <w:sz w:val="24"/>
          <w:szCs w:val="24"/>
          <w:vertAlign w:val="superscript"/>
        </w:rPr>
        <w:t xml:space="preserve"> 3</w:t>
      </w:r>
      <w:r w:rsidRPr="00DE70C8">
        <w:rPr>
          <w:rFonts w:ascii="Arial" w:hAnsi="Arial" w:cs="Arial"/>
          <w:sz w:val="24"/>
          <w:szCs w:val="24"/>
        </w:rPr>
        <w:t xml:space="preserve">Department of Psychiatry and behavioral Sciences, </w:t>
      </w:r>
      <w:r w:rsidRPr="00DE70C8">
        <w:rPr>
          <w:rFonts w:ascii="Arial" w:hAnsi="Arial" w:cs="Arial"/>
          <w:sz w:val="24"/>
          <w:szCs w:val="24"/>
          <w:vertAlign w:val="superscript"/>
        </w:rPr>
        <w:t>4</w:t>
      </w:r>
      <w:r w:rsidRPr="00DE70C8">
        <w:rPr>
          <w:rFonts w:ascii="Arial" w:hAnsi="Arial" w:cs="Arial"/>
          <w:kern w:val="0"/>
          <w:sz w:val="24"/>
          <w:szCs w:val="24"/>
        </w:rPr>
        <w:t xml:space="preserve">Center for Metabolism and Obesity Research, </w:t>
      </w:r>
      <w:r w:rsidRPr="00DE70C8">
        <w:rPr>
          <w:rFonts w:ascii="Arial" w:hAnsi="Arial" w:cs="Arial"/>
          <w:sz w:val="24"/>
          <w:szCs w:val="24"/>
          <w:vertAlign w:val="superscript"/>
        </w:rPr>
        <w:t xml:space="preserve">6 </w:t>
      </w:r>
      <w:r w:rsidRPr="00DE70C8">
        <w:rPr>
          <w:rFonts w:ascii="Arial" w:hAnsi="Arial" w:cs="Arial"/>
          <w:sz w:val="24"/>
          <w:szCs w:val="24"/>
        </w:rPr>
        <w:t xml:space="preserve">Department of </w:t>
      </w:r>
      <w:r w:rsidRPr="00DE70C8">
        <w:rPr>
          <w:rFonts w:ascii="Arial" w:hAnsi="Arial" w:cs="Arial"/>
          <w:sz w:val="24"/>
          <w:szCs w:val="24"/>
          <w:vertAlign w:val="superscript"/>
        </w:rPr>
        <w:t xml:space="preserve"> </w:t>
      </w:r>
      <w:r w:rsidRPr="00DE70C8">
        <w:rPr>
          <w:rFonts w:ascii="Arial" w:hAnsi="Arial" w:cs="Arial"/>
          <w:sz w:val="24"/>
          <w:szCs w:val="24"/>
        </w:rPr>
        <w:t xml:space="preserve">Neurology, </w:t>
      </w:r>
      <w:r w:rsidRPr="00DE70C8">
        <w:rPr>
          <w:rFonts w:ascii="Arial" w:hAnsi="Arial" w:cs="Arial"/>
          <w:sz w:val="24"/>
          <w:szCs w:val="24"/>
          <w:vertAlign w:val="superscript"/>
        </w:rPr>
        <w:t>7</w:t>
      </w:r>
      <w:r w:rsidRPr="00DE70C8">
        <w:rPr>
          <w:rFonts w:ascii="Arial" w:hAnsi="Arial" w:cs="Arial"/>
          <w:sz w:val="24"/>
          <w:szCs w:val="24"/>
        </w:rPr>
        <w:t xml:space="preserve">Neuroscience , Johns Hopkins University School of Medicine, Baltimore, MD 21287. </w:t>
      </w:r>
      <w:r w:rsidRPr="00DE70C8">
        <w:rPr>
          <w:rFonts w:ascii="Arial" w:hAnsi="Arial" w:cs="Arial"/>
          <w:sz w:val="24"/>
          <w:szCs w:val="24"/>
          <w:vertAlign w:val="superscript"/>
        </w:rPr>
        <w:t>5</w:t>
      </w:r>
      <w:r w:rsidRPr="00DE70C8">
        <w:rPr>
          <w:rFonts w:ascii="Arial" w:hAnsi="Arial" w:cs="Arial"/>
          <w:color w:val="000000"/>
          <w:sz w:val="24"/>
          <w:szCs w:val="24"/>
        </w:rPr>
        <w:t xml:space="preserve">Department of Neurology and the Hope Center for Neurological Disorders, Washington </w:t>
      </w:r>
      <w:r w:rsidRPr="00DE70C8">
        <w:rPr>
          <w:rFonts w:ascii="Arial" w:hAnsi="Arial" w:cs="Arial"/>
          <w:sz w:val="24"/>
          <w:szCs w:val="24"/>
        </w:rPr>
        <w:t xml:space="preserve">University School of Medicine, St Louis, MO 63110. </w:t>
      </w:r>
      <w:r w:rsidRPr="00DE70C8">
        <w:rPr>
          <w:rFonts w:ascii="Arial" w:hAnsi="Arial" w:cs="Arial"/>
          <w:sz w:val="24"/>
          <w:szCs w:val="24"/>
          <w:vertAlign w:val="superscript"/>
        </w:rPr>
        <w:t>8</w:t>
      </w:r>
      <w:r w:rsidRPr="00DE70C8">
        <w:rPr>
          <w:rFonts w:ascii="Arial" w:hAnsi="Arial" w:cs="Arial"/>
          <w:sz w:val="24"/>
          <w:szCs w:val="24"/>
        </w:rPr>
        <w:t xml:space="preserve">Metabolism Unit, NIA, </w:t>
      </w:r>
      <w:r w:rsidRPr="00DE70C8">
        <w:rPr>
          <w:rFonts w:ascii="Arial" w:hAnsi="Arial" w:cs="Arial"/>
          <w:sz w:val="24"/>
          <w:szCs w:val="24"/>
          <w:vertAlign w:val="superscript"/>
        </w:rPr>
        <w:t>9</w:t>
      </w:r>
      <w:r w:rsidRPr="00DE70C8">
        <w:rPr>
          <w:rFonts w:ascii="Arial" w:hAnsi="Arial" w:cs="Arial"/>
          <w:sz w:val="24"/>
          <w:szCs w:val="24"/>
        </w:rPr>
        <w:t xml:space="preserve">Receptor Pharmacology Unit, NIA, </w:t>
      </w:r>
      <w:r w:rsidRPr="00DE70C8">
        <w:rPr>
          <w:rFonts w:ascii="Arial" w:hAnsi="Arial" w:cs="Arial"/>
          <w:sz w:val="24"/>
          <w:szCs w:val="24"/>
          <w:vertAlign w:val="superscript"/>
        </w:rPr>
        <w:t>10</w:t>
      </w:r>
      <w:r w:rsidRPr="00DE70C8">
        <w:rPr>
          <w:rFonts w:ascii="Arial" w:hAnsi="Arial" w:cs="Arial"/>
          <w:sz w:val="24"/>
          <w:szCs w:val="24"/>
        </w:rPr>
        <w:t>Laboratory of Neurosciences, NIA, NIH, Baltimore, MD 21224</w:t>
      </w:r>
    </w:p>
    <w:p w:rsidR="006A1F2E" w:rsidRPr="00DE70C8" w:rsidRDefault="006A1F2E" w:rsidP="006232B6">
      <w:pPr>
        <w:ind w:left="-144" w:right="-144"/>
        <w:jc w:val="left"/>
        <w:rPr>
          <w:rFonts w:ascii="Arial" w:hAnsi="Arial" w:cs="Arial"/>
          <w:b/>
          <w:bCs/>
          <w:sz w:val="24"/>
          <w:szCs w:val="24"/>
        </w:rPr>
      </w:pPr>
    </w:p>
    <w:p w:rsidR="006A1F2E" w:rsidRPr="00DE70C8" w:rsidRDefault="006A1F2E" w:rsidP="008331AE">
      <w:pPr>
        <w:autoSpaceDE w:val="0"/>
        <w:autoSpaceDN w:val="0"/>
        <w:adjustRightInd w:val="0"/>
        <w:jc w:val="left"/>
        <w:rPr>
          <w:rFonts w:ascii="Arial" w:hAnsi="Arial" w:cs="Arial"/>
          <w:kern w:val="0"/>
          <w:sz w:val="24"/>
          <w:szCs w:val="24"/>
          <w:lang w:eastAsia="en-US"/>
        </w:rPr>
      </w:pPr>
      <w:r w:rsidRPr="00DE70C8">
        <w:rPr>
          <w:rFonts w:ascii="Arial" w:hAnsi="Arial" w:cs="Arial"/>
          <w:sz w:val="24"/>
          <w:szCs w:val="24"/>
        </w:rPr>
        <w:t>Huntington's disease (HD) is an inherited neurodegenerative disorder and characterized by motor, cognitive and psychiatric abnormalities. There is no treatment available to delay onset and/or prevent disease progression. Our previous study has shown that calorie restriction (CR) delays the onset and retards the</w:t>
      </w:r>
      <w:r w:rsidRPr="00DE70C8">
        <w:rPr>
          <w:rFonts w:ascii="Arial" w:hAnsi="Arial" w:cs="Arial"/>
          <w:kern w:val="0"/>
          <w:sz w:val="24"/>
          <w:szCs w:val="24"/>
          <w:lang w:eastAsia="en-US"/>
        </w:rPr>
        <w:t xml:space="preserve"> progression of HD-like phenotypes in a HD mouse model.</w:t>
      </w:r>
      <w:r w:rsidRPr="00DE70C8">
        <w:rPr>
          <w:rFonts w:ascii="Arial" w:hAnsi="Arial" w:cs="Arial"/>
          <w:kern w:val="0"/>
          <w:sz w:val="24"/>
          <w:szCs w:val="24"/>
        </w:rPr>
        <w:t xml:space="preserve">  </w:t>
      </w:r>
      <w:r w:rsidRPr="00DE70C8">
        <w:rPr>
          <w:rFonts w:ascii="Arial" w:hAnsi="Arial" w:cs="Arial"/>
          <w:sz w:val="24"/>
          <w:szCs w:val="24"/>
        </w:rPr>
        <w:t xml:space="preserve">CR upregulates SIRT1 in tissues including brain. SIRT1 is thought to facilitate the prolonged survival and other benefits associate with CR. We performed a series of experiments to determine if overexpression SIRT1 can modify disease progression in the N171-82Q HD mouse model.  </w:t>
      </w:r>
      <w:r w:rsidRPr="00DE70C8">
        <w:rPr>
          <w:rFonts w:ascii="Arial" w:hAnsi="Arial" w:cs="Arial"/>
          <w:kern w:val="0"/>
          <w:sz w:val="24"/>
          <w:szCs w:val="24"/>
          <w:lang w:eastAsia="en-US"/>
        </w:rPr>
        <w:t>N171-82Q HD mice were cross-bred with SIRT1 transgenic mice</w:t>
      </w:r>
      <w:r w:rsidRPr="00DE70C8">
        <w:rPr>
          <w:rFonts w:ascii="Arial" w:hAnsi="Arial" w:cs="Arial"/>
          <w:sz w:val="24"/>
          <w:szCs w:val="24"/>
        </w:rPr>
        <w:t>, both transgenes were driven by the mouse prion protein promoter which results in high expression of transgenes in brain. We found that overexpression of SIRT1 significantly delayed onset of motor deficits and slowed progression of motor dysfunction, attenuated body weight loss and improved glucose tolerance in HD mice</w:t>
      </w:r>
      <w:r w:rsidRPr="00DE70C8">
        <w:rPr>
          <w:rFonts w:ascii="Arial" w:hAnsi="Arial" w:cs="Arial"/>
          <w:kern w:val="0"/>
          <w:sz w:val="24"/>
          <w:szCs w:val="24"/>
          <w:lang w:eastAsia="en-US"/>
        </w:rPr>
        <w:t xml:space="preserve">. </w:t>
      </w:r>
      <w:r w:rsidRPr="00DE70C8">
        <w:rPr>
          <w:rFonts w:ascii="Arial" w:hAnsi="Arial" w:cs="Arial"/>
          <w:kern w:val="0"/>
          <w:sz w:val="24"/>
          <w:szCs w:val="24"/>
        </w:rPr>
        <w:t xml:space="preserve">Structural MRI studies indicated that SIRT1 overexpression dramatically reduced brain atrophy </w:t>
      </w:r>
      <w:r w:rsidRPr="00DE70C8">
        <w:rPr>
          <w:rFonts w:ascii="Arial" w:hAnsi="Arial" w:cs="Arial"/>
          <w:kern w:val="0"/>
          <w:sz w:val="24"/>
          <w:szCs w:val="24"/>
          <w:lang w:eastAsia="en-US"/>
        </w:rPr>
        <w:t xml:space="preserve">HD mice. Further mechanistic studies suggest that SIRT1 </w:t>
      </w:r>
      <w:r w:rsidRPr="00DE70C8">
        <w:rPr>
          <w:rFonts w:ascii="Arial" w:hAnsi="Arial" w:cs="Arial"/>
          <w:kern w:val="0"/>
          <w:sz w:val="24"/>
          <w:szCs w:val="24"/>
        </w:rPr>
        <w:t xml:space="preserve">normalized levels of BDNF and FOXO3a </w:t>
      </w:r>
      <w:r w:rsidRPr="00DE70C8">
        <w:rPr>
          <w:rFonts w:ascii="Arial" w:hAnsi="Arial" w:cs="Arial"/>
          <w:kern w:val="0"/>
          <w:sz w:val="24"/>
          <w:szCs w:val="24"/>
          <w:lang w:eastAsia="en-US"/>
        </w:rPr>
        <w:t>in the N171-82Q HD mice</w:t>
      </w:r>
      <w:r w:rsidRPr="00DE70C8">
        <w:rPr>
          <w:rFonts w:ascii="Arial" w:hAnsi="Arial" w:cs="Arial"/>
          <w:kern w:val="0"/>
          <w:sz w:val="24"/>
          <w:szCs w:val="24"/>
        </w:rPr>
        <w:t xml:space="preserve">. </w:t>
      </w:r>
      <w:r w:rsidRPr="00DE70C8">
        <w:rPr>
          <w:rFonts w:ascii="Arial" w:hAnsi="Arial" w:cs="Arial"/>
          <w:kern w:val="0"/>
          <w:sz w:val="24"/>
          <w:szCs w:val="24"/>
          <w:lang w:eastAsia="en-US"/>
        </w:rPr>
        <w:t xml:space="preserve"> Our findings suggest that SIRT1 might be a potential therapeutic target for developing treatment for HD. </w:t>
      </w:r>
    </w:p>
    <w:p w:rsidR="006A1F2E" w:rsidRPr="00DE70C8" w:rsidRDefault="006A1F2E" w:rsidP="000C288B">
      <w:pPr>
        <w:spacing w:line="288" w:lineRule="atLeast"/>
        <w:ind w:left="-180" w:right="-144"/>
        <w:jc w:val="left"/>
        <w:rPr>
          <w:rFonts w:ascii="Arial" w:hAnsi="Arial" w:cs="Arial"/>
          <w:kern w:val="0"/>
          <w:sz w:val="24"/>
          <w:szCs w:val="24"/>
        </w:rPr>
      </w:pPr>
      <w:r w:rsidRPr="00DE70C8">
        <w:rPr>
          <w:rFonts w:ascii="Arial" w:hAnsi="Arial" w:cs="Arial"/>
          <w:kern w:val="0"/>
          <w:sz w:val="24"/>
          <w:szCs w:val="24"/>
          <w:lang w:eastAsia="en-US"/>
        </w:rPr>
        <w:t xml:space="preserve"> </w:t>
      </w:r>
    </w:p>
    <w:p w:rsidR="006A1F2E" w:rsidRPr="00DE70C8" w:rsidRDefault="006A1F2E" w:rsidP="000C288B">
      <w:pPr>
        <w:ind w:hanging="180"/>
        <w:rPr>
          <w:rFonts w:ascii="Arial" w:eastAsia="MS Mincho" w:hAnsi="Arial"/>
          <w:color w:val="000000"/>
          <w:kern w:val="0"/>
          <w:sz w:val="24"/>
          <w:szCs w:val="24"/>
        </w:rPr>
      </w:pPr>
      <w:r w:rsidRPr="00DE70C8">
        <w:rPr>
          <w:rFonts w:ascii="Arial" w:hAnsi="Arial" w:cs="Arial"/>
          <w:sz w:val="24"/>
          <w:szCs w:val="24"/>
        </w:rPr>
        <w:t xml:space="preserve"> Support: Hereditary Disease Foundation (WD), NIH NS055942 (WD), CHDI Inc Foundation (WD), NIH NS35902 (DMH), NIA IRP (BM, SM), NS16375 (CAR)</w:t>
      </w:r>
    </w:p>
    <w:p w:rsidR="006A1F2E" w:rsidRDefault="006A1F2E" w:rsidP="00156161">
      <w:pPr>
        <w:autoSpaceDE w:val="0"/>
        <w:autoSpaceDN w:val="0"/>
        <w:adjustRightInd w:val="0"/>
        <w:jc w:val="left"/>
        <w:rPr>
          <w:sz w:val="24"/>
          <w:szCs w:val="24"/>
        </w:rPr>
      </w:pPr>
    </w:p>
    <w:sectPr w:rsidR="006A1F2E" w:rsidSect="000C6B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S Mincho">
    <w:altName w:val="昒? 瀡?"/>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E35"/>
    <w:rsid w:val="000C288B"/>
    <w:rsid w:val="000C6B4A"/>
    <w:rsid w:val="001420B5"/>
    <w:rsid w:val="001430E9"/>
    <w:rsid w:val="00154E38"/>
    <w:rsid w:val="00156161"/>
    <w:rsid w:val="001C3490"/>
    <w:rsid w:val="00240E23"/>
    <w:rsid w:val="00326E67"/>
    <w:rsid w:val="00375BD9"/>
    <w:rsid w:val="00395CF7"/>
    <w:rsid w:val="003C3C66"/>
    <w:rsid w:val="00455E0D"/>
    <w:rsid w:val="004A16EF"/>
    <w:rsid w:val="00576952"/>
    <w:rsid w:val="005C103E"/>
    <w:rsid w:val="005E110F"/>
    <w:rsid w:val="00614777"/>
    <w:rsid w:val="006232B6"/>
    <w:rsid w:val="00672E35"/>
    <w:rsid w:val="00681EFD"/>
    <w:rsid w:val="006A1F2E"/>
    <w:rsid w:val="006B7936"/>
    <w:rsid w:val="006C65FC"/>
    <w:rsid w:val="006E50DD"/>
    <w:rsid w:val="006F2F98"/>
    <w:rsid w:val="007B2EBE"/>
    <w:rsid w:val="008331AE"/>
    <w:rsid w:val="00844113"/>
    <w:rsid w:val="00860E0A"/>
    <w:rsid w:val="00876A72"/>
    <w:rsid w:val="008E59A3"/>
    <w:rsid w:val="0094408F"/>
    <w:rsid w:val="009500C7"/>
    <w:rsid w:val="009A0E83"/>
    <w:rsid w:val="009F0B43"/>
    <w:rsid w:val="00A914E1"/>
    <w:rsid w:val="00A960F0"/>
    <w:rsid w:val="00B431D9"/>
    <w:rsid w:val="00B90DBC"/>
    <w:rsid w:val="00B949C5"/>
    <w:rsid w:val="00BB3DD0"/>
    <w:rsid w:val="00C47D52"/>
    <w:rsid w:val="00C72C68"/>
    <w:rsid w:val="00C942B3"/>
    <w:rsid w:val="00CA1DA0"/>
    <w:rsid w:val="00CD4CB8"/>
    <w:rsid w:val="00D2681F"/>
    <w:rsid w:val="00DE70C8"/>
    <w:rsid w:val="00E45111"/>
    <w:rsid w:val="00E54483"/>
    <w:rsid w:val="00E63CB4"/>
    <w:rsid w:val="00E82CC5"/>
    <w:rsid w:val="00EB604F"/>
    <w:rsid w:val="00F34505"/>
    <w:rsid w:val="00F76922"/>
    <w:rsid w:val="00F87A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2B6"/>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5C103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366</Words>
  <Characters>2089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SIRT1 improves motor behavioral performance, attenuates brain atrophy and modulates metabolic abnormalities in the N171-82Q mouse model of Huntington’s disease</dc:title>
  <dc:subject/>
  <dc:creator>Duan</dc:creator>
  <cp:keywords/>
  <dc:description/>
  <cp:lastModifiedBy>Duan</cp:lastModifiedBy>
  <cp:revision>2</cp:revision>
  <dcterms:created xsi:type="dcterms:W3CDTF">2010-05-10T14:26:00Z</dcterms:created>
  <dcterms:modified xsi:type="dcterms:W3CDTF">2010-05-10T14:26:00Z</dcterms:modified>
</cp:coreProperties>
</file>